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35EE" w:rsidR="00DC35EE" w:rsidP="00DC35EE" w:rsidRDefault="00DC35EE" w14:paraId="32B282B9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i/>
          <w:iCs/>
          <w:color w:val="444444"/>
          <w:shd w:val="clear" w:color="auto" w:fill="FFFF00"/>
        </w:rPr>
        <w:t>NOTE: Copy and paste this text to create an e-mail or document and fill out all information. You may choose to edit the text to tailor it to your specific request.</w:t>
      </w:r>
      <w:r w:rsidRPr="00DC35EE">
        <w:rPr>
          <w:rStyle w:val="eop"/>
          <w:rFonts w:cs="Calibri" w:asciiTheme="majorHAnsi" w:hAnsiTheme="majorHAnsi" w:eastAsiaTheme="majorEastAsia"/>
          <w:color w:val="444444"/>
        </w:rPr>
        <w:t> </w:t>
      </w:r>
    </w:p>
    <w:p w:rsidRPr="00DC35EE" w:rsidR="00DC35EE" w:rsidP="00DC35EE" w:rsidRDefault="00DC35EE" w14:paraId="054DD0F2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1555904F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>To: 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0E8DE99D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>From: 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4382C3FA" w:rsidRDefault="00DC35EE" w14:paraId="7547E760" w14:textId="4273DBB9">
      <w:pPr>
        <w:pStyle w:val="paragraph"/>
        <w:spacing w:before="0" w:beforeAutospacing="off" w:after="0" w:afterAutospacing="off"/>
        <w:textAlignment w:val="baseline"/>
        <w:rPr>
          <w:rFonts w:ascii="Aptos Display" w:hAnsi="Aptos Display" w:cs="Segoe UI" w:asciiTheme="majorAscii" w:hAnsiTheme="majorAscii"/>
          <w:sz w:val="18"/>
          <w:szCs w:val="18"/>
        </w:rPr>
      </w:pPr>
      <w:r w:rsidRPr="4382C3FA" w:rsidR="602EB484">
        <w:rPr>
          <w:rStyle w:val="normaltextrun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>Re: Approval to attend the 202</w:t>
      </w:r>
      <w:r w:rsidRPr="4382C3FA" w:rsidR="36890725">
        <w:rPr>
          <w:rStyle w:val="normaltextrun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>6</w:t>
      </w:r>
      <w:r w:rsidRPr="4382C3FA" w:rsidR="602EB484">
        <w:rPr>
          <w:rStyle w:val="normaltextrun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 xml:space="preserve"> Texas GIS Forum</w:t>
      </w:r>
      <w:r w:rsidRPr="4382C3FA" w:rsidR="602EB484">
        <w:rPr>
          <w:rStyle w:val="eop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> </w:t>
      </w:r>
    </w:p>
    <w:p w:rsidRPr="00DC35EE" w:rsidR="00DC35EE" w:rsidP="00DC35EE" w:rsidRDefault="00DC35EE" w14:paraId="628448AE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="00DC35EE" w:rsidP="07405546" w:rsidRDefault="00DC35EE" w14:paraId="07E53054" w14:textId="0DD48315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 Display" w:hAnsi="Aptos Display" w:eastAsia="" w:cs="Calibri" w:asciiTheme="majorAscii" w:hAnsiTheme="majorAscii" w:eastAsiaTheme="majorEastAsia"/>
          <w:color w:val="000000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</w:rPr>
        <w:t>I am writing to formally request approval to attend the Texas GIS Forum, scheduled to take place in Austin, Texas from</w:t>
      </w:r>
      <w:r w:rsidRPr="07405546" w:rsidR="5EE8FB17">
        <w:rPr>
          <w:rStyle w:val="normaltextrun"/>
          <w:rFonts w:ascii="Aptos Display" w:hAnsi="Aptos Display" w:eastAsia="" w:cs="Calibri" w:asciiTheme="majorAscii" w:hAnsiTheme="majorAscii" w:eastAsiaTheme="majorEastAsia"/>
        </w:rPr>
        <w:t xml:space="preserve"> </w:t>
      </w:r>
      <w:r w:rsidRPr="07405546" w:rsidR="0ECE3E4D">
        <w:rPr>
          <w:rStyle w:val="normaltextrun"/>
          <w:rFonts w:ascii="Aptos Display" w:hAnsi="Aptos Display" w:eastAsia="" w:cs="Calibri" w:asciiTheme="majorAscii" w:hAnsiTheme="majorAscii" w:eastAsiaTheme="majorEastAsia"/>
        </w:rPr>
        <w:t>October 19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</w:rPr>
        <w:t xml:space="preserve">, </w:t>
      </w:r>
      <w:r w:rsidRPr="07405546" w:rsidR="2D572A02">
        <w:rPr>
          <w:rStyle w:val="normaltextrun"/>
          <w:rFonts w:ascii="Aptos Display" w:hAnsi="Aptos Display" w:eastAsia="" w:cs="Calibri" w:asciiTheme="majorAscii" w:hAnsiTheme="majorAscii" w:eastAsiaTheme="majorEastAsia"/>
        </w:rPr>
        <w:t>2026,</w:t>
      </w:r>
      <w:r w:rsidRPr="07405546" w:rsidR="2D572A02">
        <w:rPr>
          <w:rStyle w:val="normaltextrun"/>
          <w:rFonts w:ascii="Aptos Display" w:hAnsi="Aptos Display" w:eastAsia="" w:cs="Calibri" w:asciiTheme="majorAscii" w:hAnsiTheme="majorAscii" w:eastAsiaTheme="majorEastAsia"/>
        </w:rPr>
        <w:t xml:space="preserve"> to October 23,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</w:rPr>
        <w:t>202</w:t>
      </w:r>
      <w:r w:rsidRPr="07405546" w:rsidR="5747DC2D">
        <w:rPr>
          <w:rStyle w:val="normaltextrun"/>
          <w:rFonts w:ascii="Aptos Display" w:hAnsi="Aptos Display" w:eastAsia="" w:cs="Calibri" w:asciiTheme="majorAscii" w:hAnsiTheme="majorAscii" w:eastAsiaTheme="majorEastAsia"/>
        </w:rPr>
        <w:t>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</w:rPr>
        <w:t>.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 xml:space="preserve"> Registration rates are as follows: 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> </w:t>
      </w:r>
    </w:p>
    <w:p w:rsidRPr="00DC35EE" w:rsidR="00DC35EE" w:rsidP="00DC35EE" w:rsidRDefault="00DC35EE" w14:paraId="5CC8EDD8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</w:p>
    <w:p w:rsidRPr="00DC35EE" w:rsidR="00DC35EE" w:rsidP="00DC35EE" w:rsidRDefault="00DC35EE" w14:paraId="7E7BB651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color w:val="0F4761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b/>
          <w:bCs/>
          <w:color w:val="212529"/>
        </w:rPr>
        <w:t>Government Rates</w:t>
      </w:r>
      <w:r w:rsidRPr="00DC35EE">
        <w:rPr>
          <w:rStyle w:val="eop"/>
          <w:rFonts w:cs="Calibri" w:asciiTheme="majorHAnsi" w:hAnsiTheme="majorHAnsi" w:eastAsiaTheme="majorEastAsia"/>
          <w:color w:val="212529"/>
        </w:rPr>
        <w:t> </w:t>
      </w:r>
    </w:p>
    <w:p w:rsidRPr="00DC35EE" w:rsidR="00DC35EE" w:rsidP="07405546" w:rsidRDefault="00DC35EE" w14:paraId="6B0E3D48" w14:textId="4BBEEC40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Fonts w:ascii="Aptos Display" w:hAnsi="Aptos Display" w:cs="Calibri" w:asciiTheme="majorAscii" w:hAnsiTheme="majorAscii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Early registration is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$400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until September 1</w:t>
      </w:r>
      <w:r w:rsidRPr="07405546" w:rsidR="159030BF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5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45824745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 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> </w:t>
      </w:r>
    </w:p>
    <w:p w:rsidRPr="00DC35EE" w:rsidR="00DC35EE" w:rsidP="07405546" w:rsidRDefault="00DC35EE" w14:paraId="1C51D6BD" w14:textId="48560211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Fonts w:ascii="Aptos Display" w:hAnsi="Aptos Display" w:cs="Calibri" w:asciiTheme="majorAscii" w:hAnsiTheme="majorAscii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Standard registration is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 $440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 until October </w:t>
      </w:r>
      <w:r w:rsidRPr="07405546" w:rsidR="747966A4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16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519103C2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> </w:t>
      </w:r>
    </w:p>
    <w:p w:rsidRPr="00DC35EE" w:rsidR="00DC35EE" w:rsidP="07405546" w:rsidRDefault="00DC35EE" w14:paraId="0AA7D393" w14:textId="31FDBFE5">
      <w:pPr>
        <w:pStyle w:val="paragraph"/>
        <w:numPr>
          <w:ilvl w:val="0"/>
          <w:numId w:val="30"/>
        </w:numPr>
        <w:spacing w:before="0" w:beforeAutospacing="off" w:after="0" w:afterAutospacing="off"/>
        <w:textAlignment w:val="baseline"/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Late registration is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$475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after October </w:t>
      </w:r>
      <w:r w:rsidRPr="07405546" w:rsidR="0591C8A1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16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7E6C2A5B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</w:p>
    <w:p w:rsidR="00DC35EE" w:rsidP="00DC35EE" w:rsidRDefault="00DC35EE" w14:paraId="18D4406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 w:asciiTheme="majorHAnsi" w:hAnsiTheme="majorHAnsi" w:eastAsiaTheme="majorEastAsia"/>
          <w:b/>
          <w:bCs/>
          <w:color w:val="212529"/>
        </w:rPr>
      </w:pPr>
    </w:p>
    <w:p w:rsidRPr="00DC35EE" w:rsidR="00DC35EE" w:rsidP="00DC35EE" w:rsidRDefault="00DC35EE" w14:paraId="636C69BE" w14:textId="559A3AF2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color w:val="0F4761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b/>
          <w:bCs/>
          <w:color w:val="212529"/>
        </w:rPr>
        <w:t>Industry Rates</w:t>
      </w:r>
      <w:r w:rsidRPr="00DC35EE">
        <w:rPr>
          <w:rStyle w:val="eop"/>
          <w:rFonts w:cs="Calibri" w:asciiTheme="majorHAnsi" w:hAnsiTheme="majorHAnsi" w:eastAsiaTheme="majorEastAsia"/>
          <w:color w:val="212529"/>
        </w:rPr>
        <w:t> </w:t>
      </w:r>
    </w:p>
    <w:p w:rsidRPr="00DC35EE" w:rsidR="00DC35EE" w:rsidP="07405546" w:rsidRDefault="00DC35EE" w14:paraId="512198D5" w14:textId="6694E575">
      <w:pPr>
        <w:pStyle w:val="paragraph"/>
        <w:numPr>
          <w:ilvl w:val="0"/>
          <w:numId w:val="31"/>
        </w:numPr>
        <w:spacing w:before="0" w:beforeAutospacing="off" w:after="0" w:afterAutospacing="off"/>
        <w:textAlignment w:val="baseline"/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Early registration is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$475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until September 1</w:t>
      </w:r>
      <w:r w:rsidRPr="07405546" w:rsidR="1618E49F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5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7A40E714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</w:p>
    <w:p w:rsidRPr="00DC35EE" w:rsidR="00DC35EE" w:rsidP="07405546" w:rsidRDefault="00DC35EE" w14:paraId="10F0F20F" w14:textId="5ED2E482">
      <w:pPr>
        <w:pStyle w:val="paragraph"/>
        <w:numPr>
          <w:ilvl w:val="0"/>
          <w:numId w:val="31"/>
        </w:numPr>
        <w:spacing w:before="0" w:beforeAutospacing="off" w:after="0" w:afterAutospacing="off"/>
        <w:textAlignment w:val="baseline"/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Standard registration is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 $525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 until October </w:t>
      </w:r>
      <w:r w:rsidRPr="07405546" w:rsidR="71114077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16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066F08DD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</w:p>
    <w:p w:rsidRPr="00DC35EE" w:rsidR="00DC35EE" w:rsidP="07405546" w:rsidRDefault="00DC35EE" w14:paraId="63CA1422" w14:textId="12C03AB7">
      <w:pPr>
        <w:pStyle w:val="paragraph"/>
        <w:numPr>
          <w:ilvl w:val="0"/>
          <w:numId w:val="31"/>
        </w:numPr>
        <w:spacing w:before="0" w:beforeAutospacing="off" w:after="0" w:afterAutospacing="off"/>
        <w:textAlignment w:val="baseline"/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Late registration is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 xml:space="preserve">$575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after October </w:t>
      </w:r>
      <w:r w:rsidRPr="07405546" w:rsidR="7D101B50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16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, 202</w:t>
      </w:r>
      <w:r w:rsidRPr="07405546" w:rsidR="0E10EFFD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6</w:t>
      </w:r>
    </w:p>
    <w:p w:rsidR="00DC35EE" w:rsidP="00DC35EE" w:rsidRDefault="00DC35EE" w14:paraId="02BE5C2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cs="Calibri" w:asciiTheme="majorHAnsi" w:hAnsiTheme="majorHAnsi" w:eastAsiaTheme="majorEastAsia"/>
          <w:b/>
          <w:bCs/>
          <w:color w:val="000000"/>
        </w:rPr>
      </w:pPr>
    </w:p>
    <w:p w:rsidRPr="00DC35EE" w:rsidR="00DC35EE" w:rsidP="00DC35EE" w:rsidRDefault="00DC35EE" w14:paraId="5A733F7B" w14:textId="21B6F414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b/>
          <w:bCs/>
          <w:color w:val="000000"/>
        </w:rPr>
        <w:t>Workshops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7405546" w:rsidRDefault="00DC35EE" w14:paraId="12573770" w14:textId="710D399F">
      <w:pPr>
        <w:pStyle w:val="paragraph"/>
        <w:numPr>
          <w:ilvl w:val="0"/>
          <w:numId w:val="32"/>
        </w:numPr>
        <w:spacing w:before="0" w:beforeAutospacing="off" w:after="0" w:afterAutospacing="off"/>
        <w:textAlignment w:val="baseline"/>
        <w:rPr>
          <w:rFonts w:ascii="Aptos Display" w:hAnsi="Aptos Display" w:cs="Calibri" w:asciiTheme="majorAscii" w:hAnsiTheme="majorAscii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Each </w:t>
      </w:r>
      <w:r w:rsidRPr="07405546" w:rsidR="35000118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half day s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ession is a flat fee of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>$150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> </w:t>
      </w:r>
    </w:p>
    <w:p w:rsidRPr="00DC35EE" w:rsidR="00DC35EE" w:rsidP="07405546" w:rsidRDefault="00DC35EE" w14:paraId="36F690CA" w14:textId="408E2E8A">
      <w:pPr>
        <w:pStyle w:val="paragraph"/>
        <w:numPr>
          <w:ilvl w:val="0"/>
          <w:numId w:val="32"/>
        </w:numPr>
        <w:spacing w:before="0" w:beforeAutospacing="off" w:after="0" w:afterAutospacing="off"/>
        <w:textAlignment w:val="baseline"/>
        <w:rPr>
          <w:rStyle w:val="eop"/>
          <w:rFonts w:ascii="Aptos Display" w:hAnsi="Aptos Display" w:cs="Calibri" w:asciiTheme="majorAscii" w:hAnsiTheme="majorAscii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Each </w:t>
      </w:r>
      <w:r w:rsidRPr="07405546" w:rsidR="231EFDF4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>full day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222222"/>
        </w:rPr>
        <w:t xml:space="preserve"> session is a flat fee of </w:t>
      </w: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>$300 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> </w:t>
      </w:r>
    </w:p>
    <w:p w:rsidR="47B8AE67" w:rsidP="07405546" w:rsidRDefault="47B8AE67" w14:paraId="08644D7F" w14:textId="61B0FB16">
      <w:pPr>
        <w:pStyle w:val="paragraph"/>
        <w:numPr>
          <w:ilvl w:val="0"/>
          <w:numId w:val="32"/>
        </w:numPr>
        <w:spacing w:before="0" w:beforeAutospacing="off" w:after="0" w:afterAutospacing="off"/>
        <w:rPr>
          <w:rStyle w:val="eop"/>
          <w:rFonts w:ascii="Aptos Display" w:hAnsi="Aptos Display" w:cs="Calibri" w:asciiTheme="majorAscii" w:hAnsiTheme="majorAscii"/>
        </w:rPr>
      </w:pPr>
      <w:r w:rsidRPr="07405546" w:rsidR="47B8AE67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>Two-day</w:t>
      </w:r>
      <w:r w:rsidRPr="07405546" w:rsidR="47B8AE67">
        <w:rPr>
          <w:rStyle w:val="eop"/>
          <w:rFonts w:ascii="Aptos Display" w:hAnsi="Aptos Display" w:eastAsia="" w:cs="Calibri" w:asciiTheme="majorAscii" w:hAnsiTheme="majorAscii" w:eastAsiaTheme="majorEastAsia"/>
          <w:color w:val="222222"/>
        </w:rPr>
        <w:t xml:space="preserve"> session is a flat fee of </w:t>
      </w:r>
      <w:r w:rsidRPr="07405546" w:rsidR="47B8AE67">
        <w:rPr>
          <w:rStyle w:val="eop"/>
          <w:rFonts w:ascii="Aptos Display" w:hAnsi="Aptos Display" w:eastAsia="" w:cs="Calibri" w:asciiTheme="majorAscii" w:hAnsiTheme="majorAscii" w:eastAsiaTheme="majorEastAsia"/>
          <w:b w:val="1"/>
          <w:bCs w:val="1"/>
          <w:color w:val="222222"/>
        </w:rPr>
        <w:t>$600</w:t>
      </w:r>
    </w:p>
    <w:p w:rsidRPr="00DC35EE" w:rsidR="00DC35EE" w:rsidP="00DC35EE" w:rsidRDefault="00DC35EE" w14:paraId="343DB91F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cs="Calibri" w:asciiTheme="majorHAnsi" w:hAnsiTheme="majorHAnsi"/>
        </w:rPr>
      </w:pPr>
    </w:p>
    <w:p w:rsidRPr="00DC35EE" w:rsidR="00DC35EE" w:rsidP="00DC35EE" w:rsidRDefault="00DC35EE" w14:paraId="2C1D6BB4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222222"/>
        </w:rPr>
        <w:t>The Texas GIS Forum provides geospatial professionals with the knowledge, connections, and experience to navigate new challenges, emerging trends and the latest technology. </w:t>
      </w:r>
      <w:r w:rsidRPr="00DC35EE">
        <w:rPr>
          <w:rStyle w:val="eop"/>
          <w:rFonts w:cs="Calibri" w:asciiTheme="majorHAnsi" w:hAnsiTheme="majorHAnsi" w:eastAsiaTheme="majorEastAsia"/>
          <w:color w:val="222222"/>
        </w:rPr>
        <w:t> </w:t>
      </w:r>
    </w:p>
    <w:p w:rsidRPr="00DC35EE" w:rsidR="00DC35EE" w:rsidP="00DC35EE" w:rsidRDefault="00DC35EE" w14:paraId="7FB99574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>Over five days, I’ll have the chance to: 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0DA784C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Segoe UI" w:asciiTheme="majorHAnsi" w:hAnsiTheme="majorHAnsi" w:eastAsiaTheme="majorEastAsia"/>
        </w:rPr>
        <w:t> </w:t>
      </w:r>
    </w:p>
    <w:p w:rsidRPr="00DC35EE" w:rsidR="00DC35EE" w:rsidP="00DC35EE" w:rsidRDefault="00DC35EE" w14:paraId="6E9D3655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cs="Segoe UI" w:asciiTheme="majorHAnsi" w:hAnsiTheme="majorHAnsi"/>
        </w:rPr>
      </w:pPr>
      <w:r w:rsidRPr="00DC35EE">
        <w:rPr>
          <w:rStyle w:val="normaltextrun"/>
          <w:rFonts w:cs="Segoe UI" w:asciiTheme="majorHAnsi" w:hAnsiTheme="majorHAnsi" w:eastAsiaTheme="majorEastAsia"/>
        </w:rPr>
        <w:t>Explore the Exhibit Hall and connect with solution providers and fellow professionals, gaining firsthand exposure to emerging GIS technologies</w:t>
      </w:r>
      <w:r w:rsidRPr="00DC35EE">
        <w:rPr>
          <w:rStyle w:val="eop"/>
          <w:rFonts w:cs="Segoe UI" w:asciiTheme="majorHAnsi" w:hAnsiTheme="majorHAnsi" w:eastAsiaTheme="majorEastAsia"/>
        </w:rPr>
        <w:t> </w:t>
      </w:r>
    </w:p>
    <w:p w:rsidRPr="00DC35EE" w:rsidR="00DC35EE" w:rsidP="00DC35EE" w:rsidRDefault="00DC35EE" w14:paraId="203A40A2" w14:textId="4479CB31">
      <w:pPr>
        <w:pStyle w:val="paragraph"/>
        <w:spacing w:before="0" w:beforeAutospacing="0" w:after="0" w:afterAutospacing="0"/>
        <w:ind w:left="720" w:firstLine="48"/>
        <w:textAlignment w:val="baseline"/>
        <w:rPr>
          <w:rFonts w:cs="Segoe UI" w:asciiTheme="majorHAnsi" w:hAnsiTheme="majorHAnsi"/>
          <w:sz w:val="18"/>
          <w:szCs w:val="18"/>
        </w:rPr>
      </w:pPr>
    </w:p>
    <w:p w:rsidRPr="00DC35EE" w:rsidR="00DC35EE" w:rsidP="00DC35EE" w:rsidRDefault="00DC35EE" w14:paraId="75CE541A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cs="Segoe UI" w:asciiTheme="majorHAnsi" w:hAnsiTheme="majorHAnsi"/>
        </w:rPr>
      </w:pPr>
      <w:r w:rsidRPr="00DC35EE">
        <w:rPr>
          <w:rStyle w:val="normaltextrun"/>
          <w:rFonts w:cs="Segoe UI" w:asciiTheme="majorHAnsi" w:hAnsiTheme="majorHAnsi" w:eastAsiaTheme="majorEastAsia"/>
        </w:rPr>
        <w:t>Deepen my expertise through hands-on pre-conference workshops and peer-led sessions that highlight real-world GIS applications across sectors like urban planning, transportation, and environmental management.</w:t>
      </w:r>
      <w:r w:rsidRPr="00DC35EE">
        <w:rPr>
          <w:rStyle w:val="eop"/>
          <w:rFonts w:cs="Segoe UI" w:asciiTheme="majorHAnsi" w:hAnsiTheme="majorHAnsi" w:eastAsiaTheme="majorEastAsia"/>
        </w:rPr>
        <w:t> </w:t>
      </w:r>
    </w:p>
    <w:p w:rsidRPr="00DC35EE" w:rsidR="00DC35EE" w:rsidP="00DC35EE" w:rsidRDefault="00DC35EE" w14:paraId="077D4DB4" w14:textId="0F74E2C8">
      <w:pPr>
        <w:pStyle w:val="paragraph"/>
        <w:spacing w:before="0" w:beforeAutospacing="0" w:after="0" w:afterAutospacing="0"/>
        <w:ind w:left="720" w:firstLine="48"/>
        <w:textAlignment w:val="baseline"/>
        <w:rPr>
          <w:rFonts w:cs="Segoe UI" w:asciiTheme="majorHAnsi" w:hAnsiTheme="majorHAnsi"/>
          <w:sz w:val="18"/>
          <w:szCs w:val="18"/>
        </w:rPr>
      </w:pPr>
    </w:p>
    <w:p w:rsidRPr="00DC35EE" w:rsidR="00DC35EE" w:rsidP="00DC35EE" w:rsidRDefault="00DC35EE" w14:paraId="6D1AA75D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cs="Segoe UI" w:asciiTheme="majorHAnsi" w:hAnsiTheme="majorHAnsi"/>
        </w:rPr>
      </w:pPr>
      <w:r w:rsidRPr="00DC35EE">
        <w:rPr>
          <w:rStyle w:val="normaltextrun"/>
          <w:rFonts w:cs="Segoe UI" w:asciiTheme="majorHAnsi" w:hAnsiTheme="majorHAnsi" w:eastAsiaTheme="majorEastAsia"/>
        </w:rPr>
        <w:t>Stay informed on the latest GIS innovations through sessions that spotlight cutting-edge technologies, tools, and services shaping the future of the field</w:t>
      </w:r>
      <w:r w:rsidRPr="00DC35EE">
        <w:rPr>
          <w:rStyle w:val="eop"/>
          <w:rFonts w:cs="Segoe UI" w:asciiTheme="majorHAnsi" w:hAnsiTheme="majorHAnsi" w:eastAsiaTheme="majorEastAsia"/>
        </w:rPr>
        <w:t> </w:t>
      </w:r>
    </w:p>
    <w:p w:rsidRPr="00DC35EE" w:rsidR="00DC35EE" w:rsidP="00DC35EE" w:rsidRDefault="00DC35EE" w14:paraId="329384B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Segoe UI" w:asciiTheme="majorHAnsi" w:hAnsiTheme="majorHAnsi" w:eastAsiaTheme="majorEastAsia"/>
        </w:rPr>
        <w:t> </w:t>
      </w:r>
    </w:p>
    <w:p w:rsidRPr="00DC35EE" w:rsidR="00DC35EE" w:rsidP="00DC35EE" w:rsidRDefault="00DC35EE" w14:paraId="6057F42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293DECBC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</w:rPr>
        <w:t>With GIS technology evolving and becoming increasingly accessible, it's essential to explore how we can strategically apply it to our work.</w:t>
      </w: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 xml:space="preserve"> Here are a few current and future projects that will benefit from my attendance: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47AFB21A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3A506610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39684CC1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lastRenderedPageBreak/>
        <w:t> </w:t>
      </w:r>
    </w:p>
    <w:p w:rsidRPr="00DC35EE" w:rsidR="00DC35EE" w:rsidP="00DC35EE" w:rsidRDefault="00DC35EE" w14:paraId="715552E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cs="Calibri" w:asciiTheme="majorHAnsi" w:hAnsiTheme="majorHAnsi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7159D94E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1EF27582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>I am happy to share what I learned with other staff members and departments upon returning from the conference.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5692AC8E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7405546" w:rsidRDefault="00DC35EE" w14:paraId="53F2A37E" w14:textId="767936A7">
      <w:pPr>
        <w:pStyle w:val="paragraph"/>
        <w:spacing w:before="0" w:beforeAutospacing="off" w:after="0" w:afterAutospacing="off"/>
        <w:textAlignment w:val="baseline"/>
        <w:rPr>
          <w:rFonts w:ascii="Aptos Display" w:hAnsi="Aptos Display" w:cs="Segoe UI" w:asciiTheme="majorAscii" w:hAnsiTheme="majorAscii"/>
          <w:sz w:val="18"/>
          <w:szCs w:val="18"/>
        </w:rPr>
      </w:pPr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  <w:color w:val="000000" w:themeColor="text1" w:themeTint="FF" w:themeShade="FF"/>
        </w:rPr>
        <w:t xml:space="preserve">More information about the event, including the full conference program and exhibitor list, can be found at </w:t>
      </w:r>
      <w:hyperlink r:id="Rbd0867341b924510">
        <w:r w:rsidRPr="07405546" w:rsidR="2649E294">
          <w:rPr>
            <w:rStyle w:val="Hyperlink"/>
            <w:rFonts w:ascii="Aptos Display" w:hAnsi="Aptos Display" w:eastAsia="" w:cs="Calibri" w:asciiTheme="majorAscii" w:hAnsiTheme="majorAscii" w:eastAsiaTheme="majorEastAsia"/>
          </w:rPr>
          <w:t>https://geographic.texas.gov/texas-gis-forum/2026/</w:t>
        </w:r>
      </w:hyperlink>
      <w:r w:rsidRPr="07405546" w:rsidR="00DC35EE">
        <w:rPr>
          <w:rStyle w:val="normaltextrun"/>
          <w:rFonts w:ascii="Aptos Display" w:hAnsi="Aptos Display" w:eastAsia="" w:cs="Calibri" w:asciiTheme="majorAscii" w:hAnsiTheme="majorAscii" w:eastAsiaTheme="majorEastAsia"/>
        </w:rPr>
        <w:t xml:space="preserve"> Texas GIS Forum.</w:t>
      </w:r>
      <w:r w:rsidRPr="07405546" w:rsidR="00DC35EE">
        <w:rPr>
          <w:rStyle w:val="eop"/>
          <w:rFonts w:ascii="Aptos Display" w:hAnsi="Aptos Display" w:eastAsia="" w:cs="Calibri" w:asciiTheme="majorAscii" w:hAnsiTheme="majorAscii" w:eastAsiaTheme="majorEastAsia"/>
        </w:rPr>
        <w:t> </w:t>
      </w:r>
    </w:p>
    <w:p w:rsidRPr="00DC35EE" w:rsidR="00DC35EE" w:rsidP="00DC35EE" w:rsidRDefault="00DC35EE" w14:paraId="1E7705C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Pr="00DC35EE" w:rsidR="00DC35EE" w:rsidP="00DC35EE" w:rsidRDefault="00DC35EE" w14:paraId="57262199" w14:textId="77777777">
      <w:pPr>
        <w:pStyle w:val="paragraph"/>
        <w:spacing w:before="0" w:beforeAutospacing="0" w:after="0" w:afterAutospacing="0"/>
        <w:textAlignment w:val="baseline"/>
        <w:rPr>
          <w:rFonts w:cs="Segoe UI" w:asciiTheme="majorHAnsi" w:hAnsiTheme="majorHAnsi"/>
          <w:sz w:val="18"/>
          <w:szCs w:val="18"/>
        </w:rPr>
      </w:pPr>
      <w:r w:rsidRPr="00DC35EE">
        <w:rPr>
          <w:rStyle w:val="normaltextrun"/>
          <w:rFonts w:cs="Calibri" w:asciiTheme="majorHAnsi" w:hAnsiTheme="majorHAnsi" w:eastAsiaTheme="majorEastAsia"/>
          <w:color w:val="000000"/>
        </w:rPr>
        <w:t>Thank you for your consideration. I look forward to your reply.</w:t>
      </w:r>
      <w:r w:rsidRPr="00DC35EE">
        <w:rPr>
          <w:rStyle w:val="eop"/>
          <w:rFonts w:cs="Calibri" w:asciiTheme="majorHAnsi" w:hAnsiTheme="majorHAnsi" w:eastAsiaTheme="majorEastAsia"/>
          <w:color w:val="000000"/>
        </w:rPr>
        <w:t> </w:t>
      </w:r>
    </w:p>
    <w:p w:rsidR="007D36C9" w:rsidRDefault="007D36C9" w14:paraId="4C652C17" w14:textId="77777777"/>
    <w:sectPr w:rsidR="007D36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93E"/>
    <w:multiLevelType w:val="multilevel"/>
    <w:tmpl w:val="8EB2A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84586"/>
    <w:multiLevelType w:val="multilevel"/>
    <w:tmpl w:val="D266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10C3E"/>
    <w:multiLevelType w:val="multilevel"/>
    <w:tmpl w:val="B5A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955EAD"/>
    <w:multiLevelType w:val="multilevel"/>
    <w:tmpl w:val="9B22E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75BBD"/>
    <w:multiLevelType w:val="multilevel"/>
    <w:tmpl w:val="52E8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7E78E5"/>
    <w:multiLevelType w:val="multilevel"/>
    <w:tmpl w:val="859AF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E2109"/>
    <w:multiLevelType w:val="multilevel"/>
    <w:tmpl w:val="3D9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86338A"/>
    <w:multiLevelType w:val="multilevel"/>
    <w:tmpl w:val="F84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11026D2"/>
    <w:multiLevelType w:val="multilevel"/>
    <w:tmpl w:val="1174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CF1BAC"/>
    <w:multiLevelType w:val="hybridMultilevel"/>
    <w:tmpl w:val="7C1EF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A93616"/>
    <w:multiLevelType w:val="multilevel"/>
    <w:tmpl w:val="6EB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EF811AB"/>
    <w:multiLevelType w:val="multilevel"/>
    <w:tmpl w:val="E8D0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0875A51"/>
    <w:multiLevelType w:val="multilevel"/>
    <w:tmpl w:val="275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CB6A06"/>
    <w:multiLevelType w:val="multilevel"/>
    <w:tmpl w:val="51D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72251A7"/>
    <w:multiLevelType w:val="hybridMultilevel"/>
    <w:tmpl w:val="99980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D63486"/>
    <w:multiLevelType w:val="multilevel"/>
    <w:tmpl w:val="4AA6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B282A81"/>
    <w:multiLevelType w:val="multilevel"/>
    <w:tmpl w:val="B370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CF67125"/>
    <w:multiLevelType w:val="multilevel"/>
    <w:tmpl w:val="E8E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01B19DF"/>
    <w:multiLevelType w:val="multilevel"/>
    <w:tmpl w:val="6C4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082925"/>
    <w:multiLevelType w:val="multilevel"/>
    <w:tmpl w:val="795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A1432D5"/>
    <w:multiLevelType w:val="multilevel"/>
    <w:tmpl w:val="B95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C923B38"/>
    <w:multiLevelType w:val="multilevel"/>
    <w:tmpl w:val="020A7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255DC"/>
    <w:multiLevelType w:val="hybridMultilevel"/>
    <w:tmpl w:val="2258D0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921201"/>
    <w:multiLevelType w:val="multilevel"/>
    <w:tmpl w:val="D03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5D7539F"/>
    <w:multiLevelType w:val="multilevel"/>
    <w:tmpl w:val="9A7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69F57E9"/>
    <w:multiLevelType w:val="multilevel"/>
    <w:tmpl w:val="BA5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F5B7F87"/>
    <w:multiLevelType w:val="hybridMultilevel"/>
    <w:tmpl w:val="63E0F8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3D3CAA"/>
    <w:multiLevelType w:val="multilevel"/>
    <w:tmpl w:val="247E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00EF2"/>
    <w:multiLevelType w:val="multilevel"/>
    <w:tmpl w:val="221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B501C25"/>
    <w:multiLevelType w:val="multilevel"/>
    <w:tmpl w:val="FC9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FB410C6"/>
    <w:multiLevelType w:val="multilevel"/>
    <w:tmpl w:val="646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7930CBD"/>
    <w:multiLevelType w:val="multilevel"/>
    <w:tmpl w:val="D34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11586631">
    <w:abstractNumId w:val="24"/>
  </w:num>
  <w:num w:numId="2" w16cid:durableId="1447575235">
    <w:abstractNumId w:val="29"/>
  </w:num>
  <w:num w:numId="3" w16cid:durableId="268926939">
    <w:abstractNumId w:val="12"/>
  </w:num>
  <w:num w:numId="4" w16cid:durableId="1426535844">
    <w:abstractNumId w:val="15"/>
  </w:num>
  <w:num w:numId="5" w16cid:durableId="119737480">
    <w:abstractNumId w:val="16"/>
  </w:num>
  <w:num w:numId="6" w16cid:durableId="652103560">
    <w:abstractNumId w:val="4"/>
  </w:num>
  <w:num w:numId="7" w16cid:durableId="17589987">
    <w:abstractNumId w:val="10"/>
  </w:num>
  <w:num w:numId="8" w16cid:durableId="1632513413">
    <w:abstractNumId w:val="25"/>
  </w:num>
  <w:num w:numId="9" w16cid:durableId="143395329">
    <w:abstractNumId w:val="6"/>
  </w:num>
  <w:num w:numId="10" w16cid:durableId="1318001254">
    <w:abstractNumId w:val="2"/>
  </w:num>
  <w:num w:numId="11" w16cid:durableId="1231886270">
    <w:abstractNumId w:val="11"/>
  </w:num>
  <w:num w:numId="12" w16cid:durableId="650594299">
    <w:abstractNumId w:val="27"/>
  </w:num>
  <w:num w:numId="13" w16cid:durableId="1124227264">
    <w:abstractNumId w:val="21"/>
  </w:num>
  <w:num w:numId="14" w16cid:durableId="2014144349">
    <w:abstractNumId w:val="3"/>
  </w:num>
  <w:num w:numId="15" w16cid:durableId="448162262">
    <w:abstractNumId w:val="13"/>
  </w:num>
  <w:num w:numId="16" w16cid:durableId="2118789638">
    <w:abstractNumId w:val="20"/>
  </w:num>
  <w:num w:numId="17" w16cid:durableId="1627468018">
    <w:abstractNumId w:val="23"/>
  </w:num>
  <w:num w:numId="18" w16cid:durableId="619185782">
    <w:abstractNumId w:val="31"/>
  </w:num>
  <w:num w:numId="19" w16cid:durableId="252010841">
    <w:abstractNumId w:val="30"/>
  </w:num>
  <w:num w:numId="20" w16cid:durableId="937643346">
    <w:abstractNumId w:val="19"/>
  </w:num>
  <w:num w:numId="21" w16cid:durableId="276640937">
    <w:abstractNumId w:val="17"/>
  </w:num>
  <w:num w:numId="22" w16cid:durableId="543520947">
    <w:abstractNumId w:val="7"/>
  </w:num>
  <w:num w:numId="23" w16cid:durableId="1976521012">
    <w:abstractNumId w:val="18"/>
  </w:num>
  <w:num w:numId="24" w16cid:durableId="1022584086">
    <w:abstractNumId w:val="8"/>
  </w:num>
  <w:num w:numId="25" w16cid:durableId="8214224">
    <w:abstractNumId w:val="28"/>
  </w:num>
  <w:num w:numId="26" w16cid:durableId="1093089852">
    <w:abstractNumId w:val="1"/>
  </w:num>
  <w:num w:numId="27" w16cid:durableId="706873140">
    <w:abstractNumId w:val="5"/>
  </w:num>
  <w:num w:numId="28" w16cid:durableId="998264695">
    <w:abstractNumId w:val="0"/>
  </w:num>
  <w:num w:numId="29" w16cid:durableId="880442324">
    <w:abstractNumId w:val="14"/>
  </w:num>
  <w:num w:numId="30" w16cid:durableId="482544759">
    <w:abstractNumId w:val="22"/>
  </w:num>
  <w:num w:numId="31" w16cid:durableId="1396777342">
    <w:abstractNumId w:val="9"/>
  </w:num>
  <w:num w:numId="32" w16cid:durableId="20609354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EE"/>
    <w:rsid w:val="007D36C9"/>
    <w:rsid w:val="008F2CF5"/>
    <w:rsid w:val="009019CB"/>
    <w:rsid w:val="009F1029"/>
    <w:rsid w:val="00DC35EE"/>
    <w:rsid w:val="050D934A"/>
    <w:rsid w:val="0591C8A1"/>
    <w:rsid w:val="066F08DD"/>
    <w:rsid w:val="07405546"/>
    <w:rsid w:val="0E10EFFD"/>
    <w:rsid w:val="0ECE3E4D"/>
    <w:rsid w:val="11FCFF6A"/>
    <w:rsid w:val="159030BF"/>
    <w:rsid w:val="1618E49F"/>
    <w:rsid w:val="1F413278"/>
    <w:rsid w:val="231EFDF4"/>
    <w:rsid w:val="2649E294"/>
    <w:rsid w:val="2873F9E0"/>
    <w:rsid w:val="2D572A02"/>
    <w:rsid w:val="35000118"/>
    <w:rsid w:val="36890725"/>
    <w:rsid w:val="3F6EE99A"/>
    <w:rsid w:val="4382C3FA"/>
    <w:rsid w:val="44B92ED2"/>
    <w:rsid w:val="45824745"/>
    <w:rsid w:val="47B8AE67"/>
    <w:rsid w:val="4DDA7F11"/>
    <w:rsid w:val="519103C2"/>
    <w:rsid w:val="5747DC2D"/>
    <w:rsid w:val="5EE8FB17"/>
    <w:rsid w:val="602EB484"/>
    <w:rsid w:val="60DDC3AD"/>
    <w:rsid w:val="62E3DC44"/>
    <w:rsid w:val="6809F7E4"/>
    <w:rsid w:val="71114077"/>
    <w:rsid w:val="73E80262"/>
    <w:rsid w:val="747966A4"/>
    <w:rsid w:val="7A40E714"/>
    <w:rsid w:val="7D101B50"/>
    <w:rsid w:val="7E6C2A5B"/>
    <w:rsid w:val="7F41D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0406"/>
  <w15:chartTrackingRefBased/>
  <w15:docId w15:val="{EF13753D-1DDC-484A-A686-4881F77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5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5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C35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35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35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C35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35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35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35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35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3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5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35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C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5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C3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5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3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5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5E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C35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DC35EE"/>
  </w:style>
  <w:style w:type="character" w:styleId="eop" w:customStyle="1">
    <w:name w:val="eop"/>
    <w:basedOn w:val="DefaultParagraphFont"/>
    <w:rsid w:val="00DC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geographic.texas.gov/texas-gis-forum/2026/index.html" TargetMode="External" Id="Rbd0867341b9245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F2E543961A344A4D23C86D884557D" ma:contentTypeVersion="21" ma:contentTypeDescription="Create a new document." ma:contentTypeScope="" ma:versionID="a77da7ae6b56c84844ac79392dcd4b94">
  <xsd:schema xmlns:xsd="http://www.w3.org/2001/XMLSchema" xmlns:xs="http://www.w3.org/2001/XMLSchema" xmlns:p="http://schemas.microsoft.com/office/2006/metadata/properties" xmlns:ns2="d220b3a0-2497-45fc-b12a-43cc6b4dfa87" xmlns:ns3="06e47da0-ca10-4291-83ad-804547a418a2" targetNamespace="http://schemas.microsoft.com/office/2006/metadata/properties" ma:root="true" ma:fieldsID="f389878ecc33b9910813cda361421b42" ns2:_="" ns3:_="">
    <xsd:import namespace="d220b3a0-2497-45fc-b12a-43cc6b4dfa87"/>
    <xsd:import namespace="06e47da0-ca10-4291-83ad-804547a41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b3a0-2497-45fc-b12a-43cc6b4df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b7db59-3a4e-4cba-8974-8d3919603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47da0-ca10-4291-83ad-804547a418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62b8c3-a90a-4563-86dd-e8394a4b4932}" ma:internalName="TaxCatchAll" ma:showField="CatchAllData" ma:web="06e47da0-ca10-4291-83ad-804547a41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47da0-ca10-4291-83ad-804547a418a2" xsi:nil="true"/>
    <lcf76f155ced4ddcb4097134ff3c332f xmlns="d220b3a0-2497-45fc-b12a-43cc6b4dfa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8B6E7-D15D-4B24-8A2A-95AEA24850B0}"/>
</file>

<file path=customXml/itemProps2.xml><?xml version="1.0" encoding="utf-8"?>
<ds:datastoreItem xmlns:ds="http://schemas.openxmlformats.org/officeDocument/2006/customXml" ds:itemID="{6962F621-913C-4240-BF92-AF798081B0FD}"/>
</file>

<file path=customXml/itemProps3.xml><?xml version="1.0" encoding="utf-8"?>
<ds:datastoreItem xmlns:ds="http://schemas.openxmlformats.org/officeDocument/2006/customXml" ds:itemID="{DFFB027D-A765-4683-B823-E2E932603C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Texas Water Development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Kruse</dc:creator>
  <cp:keywords/>
  <dc:description/>
  <cp:lastModifiedBy>JLynn Washington</cp:lastModifiedBy>
  <cp:revision>3</cp:revision>
  <dcterms:created xsi:type="dcterms:W3CDTF">2025-07-31T13:50:00Z</dcterms:created>
  <dcterms:modified xsi:type="dcterms:W3CDTF">2026-03-20T16:35:29Z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0x010100748F2E543961A344A4D23C86D884557D</vt:lpwstr>
  </property>
  <property fmtid="{D5CDD505-2E9C-101B-9397-08002B2CF9AE}" pid="3" name="MediaServiceImageTags">
    <vt:lpwstr/>
  </property>
</Properties>
</file>